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1B2BEFB4"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w:t>
      </w:r>
      <w:r w:rsidR="003A3DD2">
        <w:rPr>
          <w:rFonts w:ascii="Calibri" w:eastAsia="Calibri" w:hAnsi="Calibri" w:cs="Calibri"/>
          <w:color w:val="000000"/>
          <w:sz w:val="22"/>
        </w:rPr>
        <w:t>relatif</w:t>
      </w:r>
      <w:r w:rsidR="003A3DD2" w:rsidRPr="00413F47">
        <w:rPr>
          <w:rFonts w:ascii="Calibri" w:eastAsia="Calibri" w:hAnsi="Calibri" w:cs="Calibri"/>
          <w:color w:val="000000"/>
          <w:sz w:val="22"/>
        </w:rPr>
        <w:t xml:space="preserve"> à </w:t>
      </w:r>
      <w:r w:rsidR="0041699E">
        <w:rPr>
          <w:rFonts w:ascii="Calibri" w:eastAsia="Calibri" w:hAnsi="Calibri" w:cs="Calibri"/>
          <w:color w:val="000000"/>
          <w:sz w:val="22"/>
        </w:rPr>
        <w:t>l’a</w:t>
      </w:r>
      <w:r w:rsidR="0041699E">
        <w:rPr>
          <w:rFonts w:asciiTheme="minorHAnsi" w:hAnsiTheme="minorHAnsi" w:cstheme="minorHAnsi"/>
          <w:color w:val="000000" w:themeColor="text1"/>
          <w:sz w:val="22"/>
          <w:szCs w:val="22"/>
        </w:rPr>
        <w:t>cquisition de mobilier destiné à l’aménagement d’espaces de travail de types formels et informels ainsi que de salles de réunion sur l'ensemble des sites Inria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3A3DD2">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3A3DD2">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3A3DD2">
      <w:pPr>
        <w:jc w:val="both"/>
        <w:rPr>
          <w:rFonts w:ascii="Calibri" w:eastAsia="Source Han Sans CN Regular" w:hAnsi="Calibri" w:cs="Calibri"/>
          <w:color w:val="00000A"/>
          <w:sz w:val="22"/>
          <w:szCs w:val="22"/>
          <w:lang w:eastAsia="zh-CN" w:bidi="hi-IN"/>
        </w:rPr>
      </w:pPr>
    </w:p>
    <w:p w14:paraId="7DCF5FE6" w14:textId="6C5B9E20"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de</w:t>
      </w:r>
      <w:r w:rsidR="0041699E">
        <w:rPr>
          <w:rFonts w:ascii="Calibri" w:eastAsia="Source Han Sans CN Regular" w:hAnsi="Calibri" w:cs="Calibri"/>
          <w:color w:val="00000A"/>
          <w:sz w:val="22"/>
          <w:szCs w:val="22"/>
          <w:lang w:eastAsia="zh-CN" w:bidi="hi-IN"/>
        </w:rPr>
        <w:t xml:space="preserve"> l’a</w:t>
      </w:r>
      <w:r w:rsidR="0041699E">
        <w:rPr>
          <w:rFonts w:asciiTheme="minorHAnsi" w:hAnsiTheme="minorHAnsi" w:cstheme="minorHAnsi"/>
          <w:color w:val="000000" w:themeColor="text1"/>
          <w:sz w:val="22"/>
          <w:szCs w:val="22"/>
        </w:rPr>
        <w:t>cquisition de mobilier destiné à l’aménagement d’espaces de travail de types formels et informels ainsi que de salles de réunion sur l'ensemble des sites Inria</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3A3DD2">
      <w:pPr>
        <w:rPr>
          <w:rFonts w:ascii="Calibri" w:hAnsi="Calibri" w:cs="Calibri"/>
          <w:sz w:val="22"/>
          <w:szCs w:val="22"/>
        </w:rPr>
      </w:pPr>
    </w:p>
    <w:p w14:paraId="47AAE5F2"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w:t>
      </w:r>
      <w:proofErr w:type="gramStart"/>
      <w:r w:rsidRPr="00BF0F7D">
        <w:rPr>
          <w:rFonts w:ascii="Calibri" w:eastAsia="Source Han Sans CN Regular" w:hAnsi="Calibri" w:cs="Calibri"/>
          <w:color w:val="00000A"/>
          <w:sz w:val="22"/>
          <w:szCs w:val="22"/>
          <w:lang w:eastAsia="zh-CN" w:bidi="hi-IN"/>
        </w:rPr>
        <w:t>ces</w:t>
      </w:r>
      <w:proofErr w:type="gramEnd"/>
      <w:r w:rsidRPr="00BF0F7D">
        <w:rPr>
          <w:rFonts w:ascii="Calibri" w:eastAsia="Source Han Sans CN Regular" w:hAnsi="Calibri" w:cs="Calibri"/>
          <w:color w:val="00000A"/>
          <w:sz w:val="22"/>
          <w:szCs w:val="22"/>
          <w:lang w:eastAsia="zh-CN" w:bidi="hi-IN"/>
        </w:rPr>
        <w:t xml:space="preserve"> informations ne sont pas publiques.</w:t>
      </w:r>
    </w:p>
    <w:p w14:paraId="02445C2B" w14:textId="77777777" w:rsidR="009E6EA5" w:rsidRPr="00BF0F7D" w:rsidRDefault="009E6EA5" w:rsidP="003A3DD2">
      <w:pPr>
        <w:jc w:val="both"/>
        <w:rPr>
          <w:rFonts w:ascii="Calibri" w:eastAsia="Source Han Sans CN Regular" w:hAnsi="Calibri" w:cs="Calibri"/>
          <w:color w:val="00000A"/>
          <w:sz w:val="22"/>
          <w:szCs w:val="22"/>
          <w:lang w:eastAsia="zh-CN" w:bidi="hi-IN"/>
        </w:rPr>
      </w:pPr>
    </w:p>
    <w:p w14:paraId="13909CA4" w14:textId="77777777" w:rsidR="009E6EA5" w:rsidRDefault="009E6EA5" w:rsidP="003A3DD2">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27366208"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w:t>
      </w:r>
      <w:r w:rsidR="0041699E">
        <w:rPr>
          <w:rFonts w:ascii="Calibri" w:eastAsia="Source Han Sans CN Regular" w:hAnsi="Calibri" w:cs="Calibri"/>
          <w:color w:val="00000A"/>
          <w:sz w:val="22"/>
          <w:szCs w:val="22"/>
          <w:lang w:eastAsia="zh-CN" w:bidi="hi-IN"/>
        </w:rPr>
        <w:t>de l’a</w:t>
      </w:r>
      <w:r w:rsidR="0041699E">
        <w:rPr>
          <w:rFonts w:asciiTheme="minorHAnsi" w:hAnsiTheme="minorHAnsi" w:cstheme="minorHAnsi"/>
          <w:color w:val="000000" w:themeColor="text1"/>
          <w:sz w:val="22"/>
          <w:szCs w:val="22"/>
        </w:rPr>
        <w:t xml:space="preserve">cquisition de mobilier destiné à l’aménagement d’espaces de travail de types formels et informels ainsi que de salles de réunion sur l'ensemble des sites </w:t>
      </w:r>
      <w:proofErr w:type="gramStart"/>
      <w:r w:rsidR="0041699E">
        <w:rPr>
          <w:rFonts w:asciiTheme="minorHAnsi" w:hAnsiTheme="minorHAnsi" w:cstheme="minorHAnsi"/>
          <w:color w:val="000000" w:themeColor="text1"/>
          <w:sz w:val="22"/>
          <w:szCs w:val="22"/>
        </w:rPr>
        <w:t>Inria </w:t>
      </w:r>
      <w:r w:rsidR="007D7496">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roofErr w:type="gramEnd"/>
    </w:p>
    <w:p w14:paraId="0278B8AC"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3A3DD2">
      <w:pPr>
        <w:numPr>
          <w:ilvl w:val="2"/>
          <w:numId w:val="1"/>
        </w:numPr>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3A3DD2">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3A3DD2">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3A3DD2">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67F7158D" w14:textId="77777777" w:rsidR="009E6EA5" w:rsidRPr="00BF0F7D" w:rsidRDefault="009E6EA5" w:rsidP="003A3DD2">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3A3DD2">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3A3DD2">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rsidP="003A3DD2"/>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3A3DD2"/>
    <w:rsid w:val="0041699E"/>
    <w:rsid w:val="005B536F"/>
    <w:rsid w:val="005D76C1"/>
    <w:rsid w:val="00612EC8"/>
    <w:rsid w:val="00685BA0"/>
    <w:rsid w:val="006F79C3"/>
    <w:rsid w:val="007C5333"/>
    <w:rsid w:val="007D7496"/>
    <w:rsid w:val="00821990"/>
    <w:rsid w:val="009C6690"/>
    <w:rsid w:val="009E6EA5"/>
    <w:rsid w:val="00A35F1F"/>
    <w:rsid w:val="00C22347"/>
    <w:rsid w:val="00D15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618</Words>
  <Characters>3405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2025-07-22T07:23:00Z</dcterms:created>
  <dcterms:modified xsi:type="dcterms:W3CDTF">2025-07-22T07:23:00Z</dcterms:modified>
</cp:coreProperties>
</file>